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r>
        <w:rPr>
          <w:rFonts w:hint="eastAsia" w:ascii="仿宋" w:hAnsi="仿宋" w:eastAsia="仿宋"/>
          <w:sz w:val="36"/>
          <w:szCs w:val="36"/>
        </w:rPr>
        <w:t>课堂教学奖特等奖基本情况信息登记表</w:t>
      </w:r>
    </w:p>
    <w:p>
      <w:pPr>
        <w:jc w:val="center"/>
        <w:rPr>
          <w:rFonts w:ascii="仿宋" w:hAnsi="仿宋" w:eastAsia="仿宋"/>
          <w:sz w:val="28"/>
          <w:szCs w:val="28"/>
        </w:rPr>
      </w:pPr>
      <w:r>
        <w:rPr>
          <w:rFonts w:hint="eastAsia" w:ascii="仿宋" w:hAnsi="仿宋" w:eastAsia="仿宋"/>
          <w:sz w:val="30"/>
          <w:szCs w:val="30"/>
        </w:rPr>
        <w:t xml:space="preserve">              </w:t>
      </w:r>
      <w:r>
        <w:rPr>
          <w:rFonts w:hint="eastAsia" w:ascii="仿宋" w:hAnsi="仿宋" w:eastAsia="仿宋"/>
          <w:sz w:val="28"/>
          <w:szCs w:val="28"/>
        </w:rPr>
        <w:t xml:space="preserve">  </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18"/>
        <w:gridCol w:w="1254"/>
        <w:gridCol w:w="1219"/>
        <w:gridCol w:w="1220"/>
        <w:gridCol w:w="12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253" w:type="dxa"/>
            <w:vMerge w:val="restart"/>
            <w:vAlign w:val="center"/>
          </w:tcPr>
          <w:p>
            <w:pPr>
              <w:jc w:val="center"/>
              <w:rPr>
                <w:rFonts w:ascii="仿宋" w:hAnsi="仿宋" w:eastAsia="仿宋"/>
                <w:sz w:val="30"/>
                <w:szCs w:val="30"/>
              </w:rPr>
            </w:pPr>
            <w:r>
              <w:rPr>
                <w:rFonts w:hint="eastAsia" w:ascii="仿宋" w:hAnsi="仿宋" w:eastAsia="仿宋"/>
                <w:sz w:val="30"/>
                <w:szCs w:val="30"/>
              </w:rPr>
              <w:t>姓名</w:t>
            </w:r>
          </w:p>
        </w:tc>
        <w:tc>
          <w:tcPr>
            <w:tcW w:w="1218"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樊宇敏</w:t>
            </w: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性别</w:t>
            </w:r>
          </w:p>
        </w:tc>
        <w:tc>
          <w:tcPr>
            <w:tcW w:w="1219"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女</w:t>
            </w:r>
          </w:p>
        </w:tc>
        <w:tc>
          <w:tcPr>
            <w:tcW w:w="1220" w:type="dxa"/>
            <w:vMerge w:val="restart"/>
            <w:vAlign w:val="center"/>
          </w:tcPr>
          <w:p>
            <w:pPr>
              <w:jc w:val="center"/>
              <w:rPr>
                <w:rFonts w:ascii="仿宋" w:hAnsi="仿宋" w:eastAsia="仿宋"/>
                <w:sz w:val="30"/>
                <w:szCs w:val="30"/>
              </w:rPr>
            </w:pPr>
            <w:r>
              <w:rPr>
                <w:rFonts w:hint="eastAsia" w:ascii="仿宋" w:hAnsi="仿宋" w:eastAsia="仿宋"/>
                <w:sz w:val="30"/>
                <w:szCs w:val="30"/>
              </w:rPr>
              <w:t>学历</w:t>
            </w:r>
          </w:p>
        </w:tc>
        <w:tc>
          <w:tcPr>
            <w:tcW w:w="1220"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硕士研究生</w:t>
            </w:r>
          </w:p>
        </w:tc>
        <w:tc>
          <w:tcPr>
            <w:tcW w:w="1790"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drawing>
                <wp:inline distT="0" distB="0" distL="114300" distR="114300">
                  <wp:extent cx="998855" cy="1303020"/>
                  <wp:effectExtent l="0" t="0" r="10795" b="11430"/>
                  <wp:docPr id="1" name="图片 1" descr="爱奇艺2018010315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奇艺20180103154854"/>
                          <pic:cNvPicPr>
                            <a:picLocks noChangeAspect="1"/>
                          </pic:cNvPicPr>
                        </pic:nvPicPr>
                        <pic:blipFill>
                          <a:blip r:embed="rId4"/>
                          <a:stretch>
                            <a:fillRect/>
                          </a:stretch>
                        </pic:blipFill>
                        <pic:spPr>
                          <a:xfrm>
                            <a:off x="0" y="0"/>
                            <a:ext cx="998855" cy="13030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53" w:type="dxa"/>
            <w:vMerge w:val="continue"/>
            <w:vAlign w:val="center"/>
          </w:tcPr>
          <w:p>
            <w:pPr>
              <w:jc w:val="center"/>
              <w:rPr>
                <w:rFonts w:ascii="仿宋" w:hAnsi="仿宋" w:eastAsia="仿宋"/>
                <w:sz w:val="30"/>
                <w:szCs w:val="30"/>
              </w:rPr>
            </w:pPr>
          </w:p>
        </w:tc>
        <w:tc>
          <w:tcPr>
            <w:tcW w:w="1218" w:type="dxa"/>
            <w:vMerge w:val="continue"/>
            <w:vAlign w:val="center"/>
          </w:tcPr>
          <w:p>
            <w:pPr>
              <w:jc w:val="center"/>
              <w:rPr>
                <w:rFonts w:ascii="仿宋" w:hAnsi="仿宋" w:eastAsia="仿宋"/>
                <w:sz w:val="30"/>
                <w:szCs w:val="30"/>
              </w:rPr>
            </w:pP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年龄</w:t>
            </w:r>
          </w:p>
        </w:tc>
        <w:tc>
          <w:tcPr>
            <w:tcW w:w="1219" w:type="dxa"/>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37</w:t>
            </w:r>
          </w:p>
        </w:tc>
        <w:tc>
          <w:tcPr>
            <w:tcW w:w="1220" w:type="dxa"/>
            <w:vMerge w:val="continue"/>
            <w:vAlign w:val="center"/>
          </w:tcPr>
          <w:p>
            <w:pPr>
              <w:jc w:val="center"/>
              <w:rPr>
                <w:rFonts w:ascii="仿宋" w:hAnsi="仿宋" w:eastAsia="仿宋"/>
                <w:sz w:val="30"/>
                <w:szCs w:val="30"/>
              </w:rPr>
            </w:pPr>
          </w:p>
        </w:tc>
        <w:tc>
          <w:tcPr>
            <w:tcW w:w="1220" w:type="dxa"/>
            <w:vMerge w:val="continue"/>
            <w:vAlign w:val="center"/>
          </w:tcPr>
          <w:p>
            <w:pPr>
              <w:jc w:val="center"/>
              <w:rPr>
                <w:rFonts w:ascii="仿宋" w:hAnsi="仿宋" w:eastAsia="仿宋"/>
                <w:sz w:val="30"/>
                <w:szCs w:val="30"/>
              </w:rPr>
            </w:pPr>
          </w:p>
        </w:tc>
        <w:tc>
          <w:tcPr>
            <w:tcW w:w="1790"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253" w:type="dxa"/>
            <w:vAlign w:val="center"/>
          </w:tcPr>
          <w:p>
            <w:pPr>
              <w:jc w:val="center"/>
              <w:rPr>
                <w:rFonts w:ascii="仿宋" w:hAnsi="仿宋" w:eastAsia="仿宋"/>
                <w:sz w:val="30"/>
                <w:szCs w:val="30"/>
              </w:rPr>
            </w:pPr>
            <w:r>
              <w:rPr>
                <w:rFonts w:hint="eastAsia" w:ascii="仿宋" w:hAnsi="仿宋" w:eastAsia="仿宋"/>
                <w:sz w:val="30"/>
                <w:szCs w:val="30"/>
              </w:rPr>
              <w:t>专业</w:t>
            </w:r>
          </w:p>
        </w:tc>
        <w:tc>
          <w:tcPr>
            <w:tcW w:w="1218"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中国古代文学</w:t>
            </w:r>
          </w:p>
        </w:tc>
        <w:tc>
          <w:tcPr>
            <w:tcW w:w="1254" w:type="dxa"/>
            <w:vAlign w:val="center"/>
          </w:tcPr>
          <w:p>
            <w:pPr>
              <w:jc w:val="center"/>
              <w:rPr>
                <w:rFonts w:ascii="仿宋" w:hAnsi="仿宋" w:eastAsia="仿宋"/>
                <w:sz w:val="30"/>
                <w:szCs w:val="30"/>
              </w:rPr>
            </w:pPr>
            <w:r>
              <w:rPr>
                <w:rFonts w:hint="eastAsia" w:ascii="仿宋" w:hAnsi="仿宋" w:eastAsia="仿宋"/>
                <w:sz w:val="30"/>
                <w:szCs w:val="30"/>
              </w:rPr>
              <w:t>院系</w:t>
            </w:r>
          </w:p>
        </w:tc>
        <w:tc>
          <w:tcPr>
            <w:tcW w:w="1219"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文学院</w:t>
            </w:r>
          </w:p>
        </w:tc>
        <w:tc>
          <w:tcPr>
            <w:tcW w:w="1220" w:type="dxa"/>
            <w:vAlign w:val="center"/>
          </w:tcPr>
          <w:p>
            <w:pPr>
              <w:jc w:val="center"/>
              <w:rPr>
                <w:rFonts w:ascii="仿宋" w:hAnsi="仿宋" w:eastAsia="仿宋"/>
                <w:sz w:val="30"/>
                <w:szCs w:val="30"/>
              </w:rPr>
            </w:pPr>
            <w:r>
              <w:rPr>
                <w:rFonts w:hint="eastAsia" w:ascii="仿宋" w:hAnsi="仿宋" w:eastAsia="仿宋"/>
                <w:sz w:val="30"/>
                <w:szCs w:val="30"/>
              </w:rPr>
              <w:t>职称</w:t>
            </w:r>
          </w:p>
        </w:tc>
        <w:tc>
          <w:tcPr>
            <w:tcW w:w="1220" w:type="dxa"/>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t>讲师</w:t>
            </w:r>
          </w:p>
        </w:tc>
        <w:tc>
          <w:tcPr>
            <w:tcW w:w="1790"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9174" w:type="dxa"/>
            <w:gridSpan w:val="7"/>
            <w:vAlign w:val="center"/>
          </w:tcPr>
          <w:p>
            <w:pPr>
              <w:jc w:val="center"/>
              <w:rPr>
                <w:rFonts w:ascii="仿宋" w:hAnsi="仿宋" w:eastAsia="仿宋"/>
                <w:sz w:val="30"/>
                <w:szCs w:val="30"/>
              </w:rPr>
            </w:pPr>
            <w:r>
              <w:rPr>
                <w:rFonts w:hint="eastAsia" w:ascii="仿宋" w:hAnsi="仿宋" w:eastAsia="仿宋"/>
                <w:sz w:val="30"/>
                <w:szCs w:val="30"/>
              </w:rPr>
              <w:t>获奖感言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1" w:hRule="atLeast"/>
        </w:trPr>
        <w:tc>
          <w:tcPr>
            <w:tcW w:w="9174"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在文学院担任《中国古代文学》课程的讲授工作，这是汉语言文学专业的基础课，也是学习时间长，知识跨度极大的一门课。广博的知识、生动的语言、丰富的事例和严谨的逻辑，是课堂教学的基本要求和追求目标。所以我始终要求自己认真谨慎，常讲常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分的课前准备是讲好课的保证，在备课的过程中，我坚持做到“竭泽而渔”，弄懂每一个知识点和它广博的背景知识。文学来源于生活，在课堂上根据课程内容设计相应的思考、讨论环节，积极调动学生的参与意识，让学生在主动思考的过程中掌握新知识、感受经典文学的魅力，让课堂教学获得充分利用。“纸上得来终觉浅，绝知此事要躬行。”课堂只是学习的一个阶段，课后及时复习和实践才能巩固知识，更好地应用。所以我根据课程内容给学生布置各种类型的课后练习，从基础的作品背诵到富有创造性的诗词写作，点滴积累，逐步充实。我也从学生们的习作中及时了解课堂讲授的效果，收到积极有效的建议，受到启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要有创新，科研是根本保证。在讲好课的同时，我也积极参与专业和教学改革研究，把握学科专业最新的前沿研究，学习先进的教育教学方法，随时更新授课内容。此外，我还担任了创新引飞导师、我校第一届诗词大会的辅导教师、点评嘉宾等工作。通过多种方式和学生交流沟通，帮助学生解决学业上的困惑、制定适合自己的学习计划，做好监督与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秋到人间，才有鲜果满园。成绩的获得，离不开文学院踏实认真的氛围和学校温馨和谐的环境。领导关怀、同事互助、师生无间是我们工作生活的常态。学院里针对课堂教学和科研方向的及时沟通、深度研讨，院系间关于学生教育和学校发展的充分交流、热烈讨论，多年形成的开放、包容、求实、创新的校风是我们每一个青年教师成长的沃土和基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的新规划、新举措为我们提供了难得的机遇和平台，课堂教学奖评比工作的实施，是对课堂教学的鞭策和鼓励，也是对老师们辛勤工作的肯定和褒奖。从全员听课到互听互评，从分学科竞赛到校外专家评比，每一个环节的参与都使我们收获良多。多层次多角度的听课，给了大家前所未有的学习机会，拓展了我们的专业知识和教学眼界；启发了我们多学科融合、借鉴的创新教学意识；来自不同学科背景的专家、老师们的反馈与建议更是帮助我们进一步完善教学内容、丰富教学方法、更新教学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pPr>
            <w:r>
              <w:rPr>
                <w:rFonts w:hint="eastAsia" w:ascii="仿宋_GB2312" w:hAnsi="仿宋_GB2312" w:eastAsia="仿宋_GB2312" w:cs="仿宋_GB2312"/>
                <w:sz w:val="28"/>
                <w:szCs w:val="28"/>
              </w:rPr>
              <w:t>成绩代表过去的努力，新的学期已然开始，我会把参加这次课堂教学奖评比收获的知识和启发融入今后的教学工作，把收到的鼓励和肯定作为更加严格要求自己刻苦勤奋的动力，以学校转型发展为契机，更加鞭策、激励自己，尽职尽责，讲好每一堂课，为学校的进一步发展贡献自己的绵薄之力。我们坚信，学校的明天定会更加美好！</w:t>
            </w:r>
          </w:p>
        </w:tc>
      </w:tr>
    </w:tbl>
    <w:p>
      <w:pPr>
        <w:jc w:val="righ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2017</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p>
    <w:p>
      <w:pPr>
        <w:jc w:val="right"/>
        <w:rPr>
          <w:rFonts w:hint="eastAsia" w:ascii="仿宋" w:hAnsi="仿宋" w:eastAsia="仿宋"/>
          <w:sz w:val="28"/>
          <w:szCs w:val="28"/>
        </w:rPr>
      </w:pPr>
      <w:r>
        <w:rPr>
          <w:rFonts w:hint="eastAsia" w:ascii="仿宋" w:hAnsi="仿宋" w:eastAsia="仿宋"/>
          <w:sz w:val="28"/>
          <w:szCs w:val="28"/>
        </w:rPr>
        <w:t xml:space="preserve">制表：教学督导办    </w:t>
      </w:r>
    </w:p>
    <w:p>
      <w:pPr>
        <w:jc w:val="center"/>
        <w:rPr>
          <w:rFonts w:ascii="仿宋" w:hAnsi="仿宋" w:eastAsia="仿宋"/>
          <w:sz w:val="28"/>
          <w:szCs w:val="28"/>
        </w:rPr>
      </w:pPr>
      <w:r>
        <w:rPr>
          <w:rFonts w:hint="eastAsia"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篆体">
    <w:altName w:val="宋体"/>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C8"/>
    <w:rsid w:val="000572E7"/>
    <w:rsid w:val="00367622"/>
    <w:rsid w:val="003D0AD3"/>
    <w:rsid w:val="004C6241"/>
    <w:rsid w:val="00586538"/>
    <w:rsid w:val="0065274E"/>
    <w:rsid w:val="00867805"/>
    <w:rsid w:val="008E72C4"/>
    <w:rsid w:val="00950308"/>
    <w:rsid w:val="00B43486"/>
    <w:rsid w:val="00BB4637"/>
    <w:rsid w:val="00DD40C8"/>
    <w:rsid w:val="00E609F5"/>
    <w:rsid w:val="00EC5F0C"/>
    <w:rsid w:val="0D554B73"/>
    <w:rsid w:val="14233662"/>
    <w:rsid w:val="53B05BE5"/>
    <w:rsid w:val="62835CF8"/>
    <w:rsid w:val="6FB60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Words>
  <Characters>288</Characters>
  <Lines>2</Lines>
  <Paragraphs>1</Paragraphs>
  <ScaleCrop>false</ScaleCrop>
  <LinksUpToDate>false</LinksUpToDate>
  <CharactersWithSpaces>337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2017-10-26T07:37:00Z</dcterms:created>
  <dc:creator>微软用户</dc:creator>
  <cp:lastModifiedBy>︷＂大脑壳</cp:lastModifiedBy>
  <cp:lastPrinted>2017-10-26T09:48:00Z</cp:lastPrinted>
  <dcterms:modified xsi:type="dcterms:W3CDTF">2018-01-03T07:49:07Z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