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A9" w:rsidRDefault="00525CDB">
      <w:pPr>
        <w:jc w:val="center"/>
        <w:rPr>
          <w:rFonts w:ascii="仿宋" w:eastAsia="仿宋" w:hAnsi="仿宋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sz w:val="36"/>
          <w:szCs w:val="36"/>
        </w:rPr>
        <w:t>课堂教学奖特等奖基本情况信息登记表</w:t>
      </w:r>
    </w:p>
    <w:p w:rsidR="00DD16A9" w:rsidRDefault="00525CD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Style w:val="a6"/>
        <w:tblW w:w="9174" w:type="dxa"/>
        <w:tblLayout w:type="fixed"/>
        <w:tblLook w:val="04A0"/>
      </w:tblPr>
      <w:tblGrid>
        <w:gridCol w:w="1253"/>
        <w:gridCol w:w="1218"/>
        <w:gridCol w:w="1254"/>
        <w:gridCol w:w="1219"/>
        <w:gridCol w:w="1220"/>
        <w:gridCol w:w="1220"/>
        <w:gridCol w:w="1790"/>
      </w:tblGrid>
      <w:tr w:rsidR="00DD16A9">
        <w:trPr>
          <w:trHeight w:val="589"/>
        </w:trPr>
        <w:tc>
          <w:tcPr>
            <w:tcW w:w="1253" w:type="dxa"/>
            <w:vMerge w:val="restart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18" w:type="dxa"/>
            <w:vMerge w:val="restart"/>
            <w:vAlign w:val="center"/>
          </w:tcPr>
          <w:p w:rsidR="00DD16A9" w:rsidRDefault="00525CD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孙江超</w:t>
            </w:r>
          </w:p>
        </w:tc>
        <w:tc>
          <w:tcPr>
            <w:tcW w:w="1254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219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1220" w:type="dxa"/>
            <w:vMerge w:val="restart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1220" w:type="dxa"/>
            <w:vMerge w:val="restart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硕士</w:t>
            </w:r>
          </w:p>
        </w:tc>
        <w:tc>
          <w:tcPr>
            <w:tcW w:w="1790" w:type="dxa"/>
            <w:vMerge w:val="restart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宋体" w:hAnsi="宋体" w:hint="eastAsia"/>
                <w:noProof/>
                <w:spacing w:val="-20"/>
                <w:sz w:val="28"/>
                <w:szCs w:val="28"/>
              </w:rPr>
              <w:drawing>
                <wp:inline distT="0" distB="0" distL="114300" distR="114300">
                  <wp:extent cx="1163320" cy="1727200"/>
                  <wp:effectExtent l="0" t="0" r="17780" b="635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6A9">
        <w:trPr>
          <w:trHeight w:val="490"/>
        </w:trPr>
        <w:tc>
          <w:tcPr>
            <w:tcW w:w="1253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18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4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年龄</w:t>
            </w:r>
          </w:p>
        </w:tc>
        <w:tc>
          <w:tcPr>
            <w:tcW w:w="1219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1220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20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90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D16A9">
        <w:trPr>
          <w:trHeight w:val="1159"/>
        </w:trPr>
        <w:tc>
          <w:tcPr>
            <w:tcW w:w="1253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1218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经济学</w:t>
            </w:r>
          </w:p>
        </w:tc>
        <w:tc>
          <w:tcPr>
            <w:tcW w:w="1254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院系</w:t>
            </w:r>
          </w:p>
        </w:tc>
        <w:tc>
          <w:tcPr>
            <w:tcW w:w="1219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管理学院</w:t>
            </w:r>
          </w:p>
        </w:tc>
        <w:tc>
          <w:tcPr>
            <w:tcW w:w="1220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1220" w:type="dxa"/>
            <w:vAlign w:val="center"/>
          </w:tcPr>
          <w:p w:rsidR="00DD16A9" w:rsidRDefault="00525C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副教授</w:t>
            </w:r>
          </w:p>
        </w:tc>
        <w:tc>
          <w:tcPr>
            <w:tcW w:w="1790" w:type="dxa"/>
            <w:vMerge/>
            <w:vAlign w:val="center"/>
          </w:tcPr>
          <w:p w:rsidR="00DD16A9" w:rsidRDefault="00DD16A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D16A9">
        <w:trPr>
          <w:trHeight w:val="872"/>
        </w:trPr>
        <w:tc>
          <w:tcPr>
            <w:tcW w:w="9174" w:type="dxa"/>
            <w:gridSpan w:val="7"/>
            <w:vAlign w:val="center"/>
          </w:tcPr>
          <w:p w:rsidR="00DD16A9" w:rsidRDefault="00525CDB" w:rsidP="001205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获奖感言</w:t>
            </w:r>
          </w:p>
        </w:tc>
      </w:tr>
      <w:tr w:rsidR="00DD16A9">
        <w:trPr>
          <w:trHeight w:val="8371"/>
        </w:trPr>
        <w:tc>
          <w:tcPr>
            <w:tcW w:w="9174" w:type="dxa"/>
            <w:gridSpan w:val="7"/>
            <w:vAlign w:val="center"/>
          </w:tcPr>
          <w:p w:rsidR="00DD16A9" w:rsidRDefault="00DD16A9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DD16A9" w:rsidRDefault="00525CDB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获得“课堂教学奖”特等奖首先应得感谢</w:t>
            </w:r>
            <w:r w:rsidR="005353A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校对于课堂教学的重视及广大教师的积极参与，大家在互相学习、互相观摩中共同进步。</w:t>
            </w:r>
          </w:p>
          <w:p w:rsidR="00DD16A9" w:rsidRDefault="00525CDB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教师之所以受人尊敬，是因为他燃烧自己、照亮别人，“三尺讲台，三寸舌，三寸笔，三千桃李；十年树木，十载风，十载雨，十万栋梁”，教师承担着培养社会主义事业建设者和接班人的重任。事业有多大，责任就有多大。正如习主席所讲，一名合格的教师要有坚定的理想信念，要有高尚的道德情操，要有扎实的学识功底，要有博大的仁爱之心。传道授业解惑是教师的基本职责，高尚纯粹是教师的行为常态，有教无类是教师贯彻的基本理念，人才培养是教师教学的根本任务。此次课堂教学奖的评选使我深深认识到，课堂教学效果的好坏，不仅在于对于讲课内容和讲课技巧的熟练掌握，更在于如何真正走入学生内心，实现教书育人的使命。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shd w:val="clear" w:color="auto" w:fill="FFFFFF"/>
              </w:rPr>
              <w:t>这就要求我们必须遵循教学规律，花更多的时间在备课的“课程设计上”，在上课的“课程实施上”，在作业的“课堂评价”上，晚睡一点，多想一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点，多学一点，多写一点，努力把每一节课串成一门完整而精美的课程体系。</w:t>
            </w:r>
          </w:p>
          <w:p w:rsidR="00DD16A9" w:rsidRDefault="00525CDB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陈宝生部长在新时代全国高等学校本科教育工作会议上提出，高等教育要回归常识、回归本分、回归初心、回归梦想。指的就是学生要刻苦读书学习，教师要潜心教书育人，高等学校要倾心培育建设者和接班人，高等教育要倾力实现教育报国、教育强国梦。这实际上是对课堂教学提出了更高的要求。要求教师要追踪本学科国内外前沿动态，及时更新教学内容，不断开展教学研究，积极探索教学改革，有效推进现代教育技术与课堂教学深度融合，让学生掌握扎实的理论知识，具备熟练的基本技能和创新思维，在讲授专业知识的同时，培养学生的科学精神和人文素养。</w:t>
            </w:r>
          </w:p>
          <w:p w:rsidR="00DD16A9" w:rsidRDefault="00525CDB">
            <w:pPr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“鹤发银丝映日月，丹心</w:t>
            </w:r>
            <w:hyperlink r:id="rId8" w:tgtFrame="http://www.1juzi.com/new/_blank" w:history="1">
              <w:r>
                <w:rPr>
                  <w:rFonts w:ascii="仿宋" w:eastAsia="仿宋" w:hAnsi="仿宋" w:cs="仿宋" w:hint="eastAsia"/>
                  <w:color w:val="000000" w:themeColor="text1"/>
                  <w:sz w:val="28"/>
                  <w:szCs w:val="28"/>
                </w:rPr>
                <w:t>热血</w:t>
              </w:r>
            </w:hyperlink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沃新花”，教师影响学生的不仅仅是所教的某些知识，而且还有他的行为、生活方式以及生活态度，教师的一言一行、一举一动都会在学生心灵深处留下难以磨灭的痕迹。“百年大计，教育为本”，只要把教育当做一项伟大的事业去做，就会有无穷的动力和责任，就会潜心教学，认真研究，不断创新教学方法，圆满完成教学目标。</w:t>
            </w:r>
          </w:p>
          <w:p w:rsidR="00DD16A9" w:rsidRDefault="00DD16A9">
            <w:pPr>
              <w:jc w:val="center"/>
            </w:pPr>
          </w:p>
        </w:tc>
      </w:tr>
    </w:tbl>
    <w:p w:rsidR="00DD16A9" w:rsidRDefault="00525CDB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        填表字体：仿宋  字号：四号</w:t>
      </w:r>
    </w:p>
    <w:p w:rsidR="00DD16A9" w:rsidRDefault="00DD16A9">
      <w:pPr>
        <w:jc w:val="center"/>
        <w:rPr>
          <w:rFonts w:ascii="仿宋" w:eastAsia="仿宋" w:hAnsi="仿宋"/>
          <w:sz w:val="28"/>
          <w:szCs w:val="28"/>
        </w:rPr>
      </w:pPr>
    </w:p>
    <w:p w:rsidR="00DD16A9" w:rsidRDefault="00525CD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2018 年  9 月 13 日</w:t>
      </w:r>
    </w:p>
    <w:p w:rsidR="00DD16A9" w:rsidRDefault="00525CDB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制表：教学督导办      </w:t>
      </w:r>
    </w:p>
    <w:p w:rsidR="00DD16A9" w:rsidRDefault="00DD16A9">
      <w:pPr>
        <w:jc w:val="center"/>
        <w:rPr>
          <w:rFonts w:ascii="仿宋" w:eastAsia="仿宋" w:hAnsi="仿宋"/>
          <w:sz w:val="28"/>
          <w:szCs w:val="28"/>
        </w:rPr>
      </w:pPr>
    </w:p>
    <w:p w:rsidR="00DD16A9" w:rsidRDefault="00DD16A9">
      <w:pPr>
        <w:jc w:val="center"/>
        <w:rPr>
          <w:rFonts w:ascii="仿宋" w:eastAsia="仿宋" w:hAnsi="仿宋"/>
          <w:sz w:val="28"/>
          <w:szCs w:val="28"/>
        </w:rPr>
      </w:pPr>
    </w:p>
    <w:sectPr w:rsidR="00DD16A9" w:rsidSect="00DD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9E" w:rsidRDefault="00E7659E" w:rsidP="00120549">
      <w:r>
        <w:separator/>
      </w:r>
    </w:p>
  </w:endnote>
  <w:endnote w:type="continuationSeparator" w:id="0">
    <w:p w:rsidR="00E7659E" w:rsidRDefault="00E7659E" w:rsidP="0012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9E" w:rsidRDefault="00E7659E" w:rsidP="00120549">
      <w:r>
        <w:separator/>
      </w:r>
    </w:p>
  </w:footnote>
  <w:footnote w:type="continuationSeparator" w:id="0">
    <w:p w:rsidR="00E7659E" w:rsidRDefault="00E7659E" w:rsidP="0012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C8"/>
    <w:rsid w:val="000572E7"/>
    <w:rsid w:val="00120549"/>
    <w:rsid w:val="00367622"/>
    <w:rsid w:val="003D0AD3"/>
    <w:rsid w:val="004C6241"/>
    <w:rsid w:val="00525CDB"/>
    <w:rsid w:val="005353AB"/>
    <w:rsid w:val="00586538"/>
    <w:rsid w:val="0065274E"/>
    <w:rsid w:val="00867805"/>
    <w:rsid w:val="008E72C4"/>
    <w:rsid w:val="00950308"/>
    <w:rsid w:val="009D612E"/>
    <w:rsid w:val="00B43486"/>
    <w:rsid w:val="00BB4637"/>
    <w:rsid w:val="00DD16A9"/>
    <w:rsid w:val="00DD40C8"/>
    <w:rsid w:val="00E609F5"/>
    <w:rsid w:val="00E7659E"/>
    <w:rsid w:val="00EC5F0C"/>
    <w:rsid w:val="0427546B"/>
    <w:rsid w:val="309C094C"/>
    <w:rsid w:val="377903B7"/>
    <w:rsid w:val="4C335DDD"/>
    <w:rsid w:val="6FB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D1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D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D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D16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16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D1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zi.com/rexu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cp:lastPrinted>2017-10-26T09:48:00Z</cp:lastPrinted>
  <dcterms:created xsi:type="dcterms:W3CDTF">2017-10-26T07:37:00Z</dcterms:created>
  <dcterms:modified xsi:type="dcterms:W3CDTF">2018-11-30T00:34:00Z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